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480ca22be458e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3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?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sectPr>
      <w:bidi/>
    </w:sectPr>
  </w:body>
</w:document>
</file>