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afd6053924390" /></Relationships>
</file>

<file path=word/document.xml><?xml version="1.0" encoding="utf-8"?>
<w:document xmlns:w="http://schemas.openxmlformats.org/wordprocessingml/2006/main">
  <w:body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?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</w:p>
    <w:p>
      <w:r>
        <w:br w:type="page"/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,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r>
        <w:br w:type="page"/>
      </w:r>
    </w:p>
    <w:sectPr>
      <w:bidi/>
    </w:sectPr>
  </w:body>
</w:document>
</file>