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b31cc7956a4468" /></Relationships>
</file>

<file path=word/document.xml><?xml version="1.0" encoding="utf-8"?>
<w:document xmlns:w="http://schemas.openxmlformats.org/wordprocessingml/2006/main">
  <w:body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4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4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6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*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6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0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6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8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6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*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0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7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7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4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6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8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*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0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4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6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9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9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4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4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9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4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</w:p>
    <w:p>
      <w:r>
        <w:br w:type="page"/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</w:p>
    <w:p>
      <w:r>
        <w:br w:type="page"/>
      </w:r>
    </w:p>
    <w:sectPr>
      <w:bidi/>
    </w:sectPr>
  </w:body>
</w:document>
</file>