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634eaa66f4a8a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5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?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7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2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9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*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</w:p>
    <w:p>
      <w:r>
        <w:br w:type="page"/>
      </w:r>
    </w:p>
    <w:sectPr>
      <w:bidi/>
    </w:sectPr>
  </w:body>
</w:document>
</file>