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85c75b70574f32" /></Relationships>
</file>

<file path=word/document.xml><?xml version="1.0" encoding="utf-8"?>
<w:document xmlns:w="http://schemas.openxmlformats.org/wordprocessingml/2006/main">
  <w:body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3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0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6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6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4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6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4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4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3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3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3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4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0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3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3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6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3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3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3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3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0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4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3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6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8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3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3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6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3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3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3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3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3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4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3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3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6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3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3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3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4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*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4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</w:p>
    <w:p>
      <w:r>
        <w:br w:type="page"/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3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4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8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</w:p>
    <w:p>
      <w:r>
        <w:br w:type="page"/>
      </w:r>
    </w:p>
    <w:sectPr>
      <w:bidi/>
    </w:sectPr>
  </w:body>
</w:document>
</file>