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cb3c0f7c44238" /></Relationships>
</file>

<file path=word/document.xml><?xml version="1.0" encoding="utf-8"?>
<w:document xmlns:w="http://schemas.openxmlformats.org/wordprocessingml/2006/main">
  <w:body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.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7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7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r>
        <w:br w:type="page"/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r>
        <w:br w:type="page"/>
      </w:r>
    </w:p>
    <w:sectPr>
      <w:bidi/>
    </w:sectPr>
  </w:body>
</w:document>
</file>