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e5e00f7ec4670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</w:p>
    <w:p>
      <w:r>
        <w:br w:type="page"/>
      </w:r>
    </w:p>
    <w:sectPr>
      <w:bidi/>
    </w:sectPr>
  </w:body>
</w:document>
</file>