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4c8faef204ec0" /></Relationships>
</file>

<file path=word/document.xml><?xml version="1.0" encoding="utf-8"?>
<w:document xmlns:w="http://schemas.openxmlformats.org/wordprocessingml/2006/main">
  <w:body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pPr>
        <w:bidi/>
        <w:jc w:val="left"/>
      </w:pP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r>
        <w:br w:type="page"/>
      </w:r>
    </w:p>
    <w:sectPr>
      <w:bidi/>
    </w:sectPr>
  </w:body>
</w:document>
</file>