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David" w:cs="David" w:eastAsia="David" w:hAnsi="David"/>
          <w:b/>
          <w:bCs/>
          <w:color w:val="8C6D2F"/>
          <w:sz w:val="26"/>
          <w:szCs w:val="26"/>
        </w:rPr>
        <w:t xml:space="preserve">מדריך למשתמש — תוכנת "אוצריא"</w:t>
      </w:r>
    </w:p>
    <w:p>
      <w:pPr>
        <w:pBdr>
          <w:bottom w:val="single" w:color="B8944F" w:sz="8" w:space="4"/>
        </w:pBdr>
        <w:spacing w:after="80"/>
        <w:jc w:val="center"/>
      </w:pPr>
      <w:r>
        <w:rPr>
          <w:rFonts w:ascii="David" w:cs="David" w:eastAsia="David" w:hAnsi="David"/>
          <w:color w:val="5C4E3D"/>
          <w:sz w:val="13"/>
          <w:szCs w:val="13"/>
        </w:rPr>
        <w:t xml:space="preserve">ספריית התורה הדיגיטלית — מדריך מסודר לפי מסכי התוכנה</w:t>
      </w:r>
    </w:p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תוכן עניינים</w:t>
      </w:r>
    </w:p>
    <w:sdt>
      <w:sdtPr>
        <w:alias w:val="תוכן עניינים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א. מסך ראשי (ספרייה)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7048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קטגוריות הספרייה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לחיצה על כרטיסייה פותחת את תת-הקטגוריות והספרים שבתוכה.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333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שורת חיפוש עליונה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איתור ספר או מחבר מהיר לפי הקלדת שם בלבד.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2762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תאריך עברי ודף יומי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מוצג בפינה השמאלית העליונה, עם קישור ישיר לדף היומי.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57175" cy="952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סרגל ניווט ימני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מעבר בין כל מסכי התוכנה: ספרייה, איתור, עיון, חיפוש, כלים, הגדרות ועוד.</w:t>
            </w:r>
          </w:p>
        </w:tc>
      </w:tr>
    </w:tbl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ב. איתור מקורות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810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חלון איתור מקורות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הקלדת ניסוח קצר (למשל "ברכות ג ה") ולחיצת Enter פותחת את המקור המדויק.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3048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כלול ספרים אישיים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מתג להוספה או החרגה של ספרים אישיים מתוצאות האיתור.</w:t>
            </w:r>
          </w:p>
        </w:tc>
      </w:tr>
    </w:tbl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ג. עיון בספר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09675" cy="952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טקסט הספר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הצגת הטקסט המרכזי; לצדו נפתחת חלונית המפרשים על אותו קטע.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חיפוש וניווט בתוך הספר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חלונית צד עם לשוניות חיפוש, כותרות וניווט בתוך הספר הפתוח.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810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היסטוריית קריאה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רשימת הספרים והמקומות שנפתחו לאחרונה, עם אפשרות מחיקה.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809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טאבים (לשוניות)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פתיחת כמה ספרים במקביל; Ctrl+1 עד Ctrl+9 קופצים לטאב לפי מספרו.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2000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סרגל כלי עיון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זום, חיפוש בספר, תצוגה מפוצלת והדפסה — הכול בשורה אחת.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9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מסך מלא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כפתור בפינת החלון להסתרת הסרגלים ומעבר לקריאה נטולת הסחות דעת.</w:t>
            </w:r>
          </w:p>
        </w:tc>
      </w:tr>
    </w:tbl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ד. חיפוש מתקדם בספרייה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6953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חלון חיפוש בספרייה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בחירת סוג חיפוש (מדויק/מקורב/מתקדם), צמצום לקטגוריות, ואפשרויות מילה כגון כתיב מלא/חסר.</w:t>
            </w:r>
          </w:p>
        </w:tc>
      </w:tr>
    </w:tbl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ה. כלים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14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לוח שנה עברי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זמני היום לפי עיר מגורים, הדלקת נרות ותזכורות לאירועים.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9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שניים מקרא ואחד תרגום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כלי ללימוד הפרשה השבועית לפי סדר שמו"ת.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90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קורא ZIM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פתיחת קבצי אנציקלופדיה/מאגרי מידע בפורמט ZIM בתוך התוכנה.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123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עורך "וורד לאוצריא"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עורך מסמכים מובנה ליצירת ועריכת קבצים בתוך התוכנה.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38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ניווט ברמב"ם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כלי ניווט מהיר בין ספרי משנה תורה לרמב"ם.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810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רפואה / לע"נ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יצירת דף "מי שבירך" לרפואה או לעילוי נשמה, עם הדפסה או ייצוא.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3048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צומח בתנ"ך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מדריך צמחים המוזכרים במקרא, לפי קטגוריות עם תמונות והסברים.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095375" cy="952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תוספים — ניהול והתקנה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רשימת התוספים המותקנים, הפעלה/כיבוי, והתקנת תוסף חדש מקובץ.</w:t>
            </w:r>
          </w:p>
        </w:tc>
      </w:tr>
    </w:tbl>
    <w:p>
      <w:pPr>
        <w:pStyle w:val="Heading2"/>
        <w:bidi/>
        <w:spacing w:after="30" w:before="70"/>
        <w:jc w:val="right"/>
      </w:pPr>
      <w:r>
        <w:rPr>
          <w:rFonts w:ascii="David" w:cs="David" w:eastAsia="David" w:hAnsi="David"/>
          <w:b/>
          <w:bCs/>
          <w:color w:val="3A2E22"/>
          <w:sz w:val="16"/>
          <w:szCs w:val="16"/>
          <w:rtl/>
        </w:rPr>
        <w:t xml:space="preserve">כלים נוספים בתפריט "כלים"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גימטריות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חישוב גימטריה במגוון שיטות.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ממיר מידות ושיעורים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המרת מידות הלכתיות למודרניות.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מילון ארמי-עברי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תרגום מונחים מארמית.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ראשי תיבות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פענוח קיצורים ונוטריקון.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עיון ההלכה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כלי לניתוח וסימון מקורות הלכתיים.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תיקון קוראים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טקסט מנוקד ומוטעם לקריאה בציבור.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ביוגרפיות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מידע על מחברי הספרים.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מעשר כספים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מעקב וחישוב הפרשות.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שעון נוכחות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מעקב שעות לימוד/עבודה.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דיווח באגים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שליחת דיווח תקלה למפתחים.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הורדת ספרים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ניהול הורדות ועדכוני ספרייה.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PDF+OCR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זיהוי טקסט בתוך קובצי PDF סרוקים.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ניקוד אוטומטי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הוספת ניקוד לטקסט חסר ניקוד.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צופה HTML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תצוגת דפי אינטרנט/מסמכים בתוך התוכנה.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יומא דהילולא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תאריכי פטירה של גדולי ישראל.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יוצר תורני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כלי יצירת תוכן תורני מותאם.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מראי מקומות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ניהול והצגת מראי מקומות.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שיטת המזומנים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כלי חישוב הלכתי.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סידורן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סידור וארגון רשימות ספרים.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קידוש החודש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הדמיית מולד הירח וקביעת ראשי חודשים.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הקלדה עברית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מקלדת עברית מסך.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מקומות בתנ"ך / בעלי חיים בתנ"ך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מדריכים נלווים לתנ"ך.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שמור וזכור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ניהול לימוד סדיר וחזרה, כולל זכירת מיקום אחרון בכל ספר.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הערות אישיות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ניהול, סינון וייצוא כלל ההערות שנכתבו בספרים.</w:t>
      </w:r>
    </w:p>
    <w:p>
      <w:pPr>
        <w:pStyle w:val="Heading1"/>
        <w:pBdr>
          <w:bottom w:val="single" w:color="B8944F" w:sz="6" w:space="3"/>
        </w:pBdr>
        <w:bidi/>
        <w:spacing w:after="50" w:before="140"/>
        <w:jc w:val="right"/>
      </w:pPr>
      <w:r>
        <w:rPr>
          <w:rFonts w:ascii="David" w:cs="David" w:eastAsia="David" w:hAnsi="David"/>
          <w:b/>
          <w:bCs/>
          <w:color w:val="8C6D2F"/>
          <w:sz w:val="21"/>
          <w:szCs w:val="21"/>
          <w:rtl/>
        </w:rPr>
        <w:t xml:space="preserve">ו. הגדרות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6191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מראה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ערכת נושא (בהיר/כהה/אוטומטי), צבע בסיס, תצוגת PDF ופאנלים צדדיים.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71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כתב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בחירת גופן לטקסט ולמפרשים, גודל אות, מרווח שורות ורוחב טקסט.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20"/>
              <w:left w:type="dxa" w:w="40"/>
              <w:bottom w:type="dxa" w:w="2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38250" cy="571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8%"/>
            <w:tcBorders>
              <w:top w:val="single" w:color="E4D6BC" w:sz="2"/>
              <w:left w:val="single" w:color="E4D6BC" w:sz="2"/>
              <w:bottom w:val="single" w:color="E4D6BC" w:sz="2"/>
              <w:right w:val="single" w:color="E4D6BC" w:sz="2"/>
            </w:tcBorders>
            <w:tcMar>
              <w:top w:type="dxa" w:w="30"/>
              <w:left w:type="dxa" w:w="80"/>
              <w:bottom w:type="dxa" w:w="30"/>
              <w:right w:type="dxa" w:w="80"/>
            </w:tcMar>
            <w:vAlign w:val="center"/>
          </w:tcPr>
          <w:p>
            <w:pPr>
              <w:bidi/>
              <w:spacing w:after="10"/>
              <w:jc w:val="right"/>
            </w:pPr>
            <w:r>
              <w:rPr>
                <w:rFonts w:ascii="David" w:cs="David" w:eastAsia="David" w:hAnsi="David"/>
                <w:b/>
                <w:bCs/>
                <w:color w:val="8C6D2F"/>
                <w:sz w:val="15"/>
                <w:szCs w:val="15"/>
                <w:rtl/>
              </w:rPr>
              <w:t xml:space="preserve">קיצורים</w:t>
            </w:r>
          </w:p>
          <w:p>
            <w:pPr>
              <w:bidi/>
              <w:spacing w:after="0"/>
              <w:jc w:val="right"/>
            </w:pPr>
            <w:r>
              <w:rPr>
                <w:rFonts w:ascii="David" w:cs="David" w:eastAsia="David" w:hAnsi="David"/>
                <w:color w:val="3A2E22"/>
                <w:sz w:val="14"/>
                <w:szCs w:val="14"/>
                <w:rtl/>
              </w:rPr>
              <w:t xml:space="preserve">רשימת כל קיצורי המקלדת, כולל אפשרות להוסיף קיצור לפעולה מועדפת.</w:t>
            </w:r>
          </w:p>
        </w:tc>
      </w:tr>
    </w:tbl>
    <w:p>
      <w:pPr>
        <w:pStyle w:val="Heading2"/>
        <w:bidi/>
        <w:spacing w:after="30" w:before="70"/>
        <w:jc w:val="right"/>
      </w:pPr>
      <w:r>
        <w:rPr>
          <w:rFonts w:ascii="David" w:cs="David" w:eastAsia="David" w:hAnsi="David"/>
          <w:b/>
          <w:bCs/>
          <w:color w:val="3A2E22"/>
          <w:sz w:val="16"/>
          <w:szCs w:val="16"/>
          <w:rtl/>
        </w:rPr>
        <w:t xml:space="preserve">שלוחות נוספות בהגדרות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ספרייה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ניהול נתיב הספרייה, ספרים אישיים ועדכוני ספרייה.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כלים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הפעלה/כיבוי של כלים בתפריט "כלים".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מערכת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שפה, מיקום קבצי המערכת, גיבוי אוטומטי ומצב סייפר (הגנת סיסמה).</w:t>
      </w:r>
    </w:p>
    <w:p>
      <w:pPr>
        <w:bidi/>
        <w:spacing w:after="30"/>
        <w:jc w:val="right"/>
      </w:pPr>
      <w:r>
        <w:rPr>
          <w:rFonts w:ascii="David" w:cs="David" w:eastAsia="David" w:hAnsi="David"/>
          <w:b/>
          <w:bCs/>
          <w:color w:val="3A2E22"/>
          <w:sz w:val="14"/>
          <w:szCs w:val="14"/>
          <w:rtl/>
        </w:rPr>
        <w:t xml:space="preserve">אודות — </w:t>
      </w:r>
      <w:r>
        <w:rPr>
          <w:rFonts w:ascii="David" w:cs="David" w:eastAsia="David" w:hAnsi="David"/>
          <w:color w:val="5C4E3D"/>
          <w:sz w:val="14"/>
          <w:szCs w:val="14"/>
          <w:rtl/>
        </w:rPr>
        <w:t xml:space="preserve">פרטי גרסה, קרדיטים ומקורות הספרים.</w:t>
      </w:r>
    </w:p>
    <w:sectPr>
      <w:headerReference w:type="default" r:id="rId7"/>
      <w:footerReference w:type="default" r:id="rId8"/>
      <w:pgSz w:w="8391" w:h="11909" w:orient="portrait"/>
      <w:pgMar w:top="500" w:right="500" w:bottom="50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David" w:cs="David" w:eastAsia="David" w:hAnsi="David"/>
        <w:color w:val="5C4E3D"/>
        <w:sz w:val="11"/>
        <w:szCs w:val="11"/>
      </w:rPr>
      <w:t xml:space="preserve">עמוד </w:t>
    </w:r>
    <w:r>
      <w:rPr>
        <w:rFonts w:ascii="David" w:cs="David" w:eastAsia="David" w:hAnsi="David"/>
        <w:color w:val="5C4E3D"/>
        <w:sz w:val="11"/>
        <w:szCs w:val="11"/>
      </w:rPr>
      <w:fldChar w:fldCharType="begin"/>
      <w:instrText xml:space="preserve">PAGE</w:instrText>
      <w:fldChar w:fldCharType="separate"/>
      <w:fldChar w:fldCharType="end"/>
    </w:r>
    <w:r>
      <w:rPr>
        <w:rFonts w:ascii="David" w:cs="David" w:eastAsia="David" w:hAnsi="David"/>
        <w:color w:val="5C4E3D"/>
        <w:sz w:val="11"/>
        <w:szCs w:val="11"/>
      </w:rPr>
      <w:t xml:space="preserve"> מתוך </w:t>
    </w:r>
    <w:r>
      <w:rPr>
        <w:rFonts w:ascii="David" w:cs="David" w:eastAsia="David" w:hAnsi="David"/>
        <w:color w:val="5C4E3D"/>
        <w:sz w:val="11"/>
        <w:szCs w:val="11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44F" w:sz="4" w:space="2"/>
      </w:pBdr>
      <w:bidi/>
      <w:spacing w:after="0"/>
      <w:jc w:val="center"/>
    </w:pPr>
    <w:r>
      <w:rPr>
        <w:rFonts w:ascii="David" w:cs="David" w:eastAsia="David" w:hAnsi="David"/>
        <w:color w:val="5C4E3D"/>
        <w:sz w:val="11"/>
        <w:szCs w:val="11"/>
        <w:rtl/>
      </w:rPr>
      <w:t xml:space="preserve">מדריך למשתמש — אוצריא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color w:val="3A2E22"/>
        <w:sz w:val="14"/>
        <w:szCs w:val="14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a74c58e3d527b7c72fb2b2e236edcfec6791044.jpg"/><Relationship Id="rId10" Type="http://schemas.openxmlformats.org/officeDocument/2006/relationships/image" Target="media/5a38cfda4165f6ca1240b90daa1fbc2a7dce25e2.jpg"/><Relationship Id="rId11" Type="http://schemas.openxmlformats.org/officeDocument/2006/relationships/image" Target="media/ece552eba0a8472d7ed36282a34c20e1de308360.jpg"/><Relationship Id="rId12" Type="http://schemas.openxmlformats.org/officeDocument/2006/relationships/image" Target="media/0d9a8719ebeca1b39db3f1570243ebffe6650d35.jpg"/><Relationship Id="rId13" Type="http://schemas.openxmlformats.org/officeDocument/2006/relationships/image" Target="media/788e6c4a97e575b8d5dccd71a0e00e81140ecd20.jpg"/><Relationship Id="rId14" Type="http://schemas.openxmlformats.org/officeDocument/2006/relationships/image" Target="media/77d754f78275003a1e987af6c911cb8795608a27.jpg"/><Relationship Id="rId15" Type="http://schemas.openxmlformats.org/officeDocument/2006/relationships/image" Target="media/7a8c2c896ad71621e14b15c50c0a6bead55be8ad.jpg"/><Relationship Id="rId16" Type="http://schemas.openxmlformats.org/officeDocument/2006/relationships/image" Target="media/f062e6d2fe82fa814c2b4ef8bc7eac2583be75c5.jpg"/><Relationship Id="rId17" Type="http://schemas.openxmlformats.org/officeDocument/2006/relationships/image" Target="media/1a33fa806fb96fb02599d6e908b0116bedd989f9.jpg"/><Relationship Id="rId18" Type="http://schemas.openxmlformats.org/officeDocument/2006/relationships/image" Target="media/99ba5b13e0429edb5e99c8041cb4b66cb6b2b398.jpg"/><Relationship Id="rId19" Type="http://schemas.openxmlformats.org/officeDocument/2006/relationships/image" Target="media/3ab0aea33c38fc7214440947a5e67da710794d7e.jpg"/><Relationship Id="rId20" Type="http://schemas.openxmlformats.org/officeDocument/2006/relationships/image" Target="media/8da9d7e4ab18689cf756c65aadbe721d7c0f439b.jpg"/><Relationship Id="rId21" Type="http://schemas.openxmlformats.org/officeDocument/2006/relationships/image" Target="media/4b546f166f1d7f85749597e01745ffa786da4825.jpg"/><Relationship Id="rId22" Type="http://schemas.openxmlformats.org/officeDocument/2006/relationships/image" Target="media/11a4029cdbaecb1429cd4889926f9bba221f009a.jpg"/><Relationship Id="rId23" Type="http://schemas.openxmlformats.org/officeDocument/2006/relationships/image" Target="media/f35a3c8c2ea9d27b15e6cd2a6488951e13e545d0.jpg"/><Relationship Id="rId24" Type="http://schemas.openxmlformats.org/officeDocument/2006/relationships/image" Target="media/9e5e455095b0e6ce526f101b51c9d00a4a6d237e.jpg"/><Relationship Id="rId25" Type="http://schemas.openxmlformats.org/officeDocument/2006/relationships/image" Target="media/9d1bfc2c7362a648a5684b7af438e2b98b1cf5cc.jpg"/><Relationship Id="rId26" Type="http://schemas.openxmlformats.org/officeDocument/2006/relationships/image" Target="media/751b144e787b56606a8415d63cb9a4b058741121.jpg"/><Relationship Id="rId27" Type="http://schemas.openxmlformats.org/officeDocument/2006/relationships/image" Target="media/55cb3cffc10b7ce7c3cc3c5d4237473e58caccec.jpg"/><Relationship Id="rId28" Type="http://schemas.openxmlformats.org/officeDocument/2006/relationships/image" Target="media/90c270f7a2116f67c85fc2515e79628af71ad2d5.jpg"/><Relationship Id="rId29" Type="http://schemas.openxmlformats.org/officeDocument/2006/relationships/image" Target="media/8e23b5cc74339417ea9fa8f70fb384867ab12c09.jpg"/><Relationship Id="rId30" Type="http://schemas.openxmlformats.org/officeDocument/2006/relationships/image" Target="media/70c8f6bd66b0024cdfe43d80990221f8dafec50d.jpg"/><Relationship Id="rId31" Type="http://schemas.openxmlformats.org/officeDocument/2006/relationships/image" Target="media/35c89f0816f10eb8f2a1d1dfd2355a8b7767e6dc.jpg"/><Relationship Id="rId32" Type="http://schemas.openxmlformats.org/officeDocument/2006/relationships/image" Target="media/cd49c4ceb3e86f8b0018d59228a25382779ad304.jpg"/><Relationship Id="rId3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מדריך למשתמש - אוצריא</dc:title>
  <dc:creator>מדריך אוצריא</dc:creator>
  <cp:lastModifiedBy>Un-named</cp:lastModifiedBy>
  <cp:revision>1</cp:revision>
  <dcterms:created xsi:type="dcterms:W3CDTF">2026-07-20T22:37:24.184Z</dcterms:created>
  <dcterms:modified xsi:type="dcterms:W3CDTF">2026-07-20T22:37:24.185Z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